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79F1A8BF"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B24F5E" w:rsidRPr="00B24F5E">
              <w:rPr>
                <w:rFonts w:asciiTheme="majorHAnsi" w:hAnsiTheme="majorHAnsi" w:cs="Arial"/>
                <w:b/>
                <w:sz w:val="18"/>
                <w:szCs w:val="18"/>
              </w:rPr>
              <w:t>Experimental teaching in chemistry</w:t>
            </w:r>
            <w:bookmarkEnd w:id="0"/>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437FE71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23ACB2E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24F5E">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3358BA8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24F5E">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0442D6">
                    <w:rPr>
                      <w:rFonts w:asciiTheme="majorHAnsi" w:hAnsiTheme="majorHAnsi" w:cs="Arial"/>
                      <w:b/>
                      <w:sz w:val="18"/>
                      <w:szCs w:val="18"/>
                    </w:rPr>
                  </w:r>
                  <w:r w:rsidR="000442D6">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5BF5C7C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3ABAD00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35D31C5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9136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460A68F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F5E">
              <w:rPr>
                <w:rFonts w:asciiTheme="majorHAnsi" w:hAnsiTheme="majorHAnsi" w:cs="Arial"/>
                <w:b/>
                <w:sz w:val="18"/>
                <w:szCs w:val="18"/>
              </w:rPr>
              <w:t>8</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220A885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4F5E">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7268782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F5E">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091DFE7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4F5E">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3D25F23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F5E">
              <w:rPr>
                <w:rFonts w:asciiTheme="majorHAnsi" w:hAnsiTheme="majorHAnsi" w:cs="Arial"/>
                <w:b/>
                <w:sz w:val="18"/>
                <w:szCs w:val="18"/>
              </w:rPr>
              <w:t>88.00</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5EB7512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4F5E">
              <w:rPr>
                <w:rFonts w:asciiTheme="majorHAnsi" w:hAnsiTheme="majorHAnsi"/>
                <w:b/>
                <w:sz w:val="18"/>
                <w:szCs w:val="18"/>
              </w:rPr>
              <w:t>2</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2E102A1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F5E">
              <w:rPr>
                <w:rFonts w:asciiTheme="majorHAnsi" w:hAnsiTheme="majorHAnsi" w:cs="Arial"/>
                <w:b/>
                <w:sz w:val="18"/>
                <w:szCs w:val="18"/>
              </w:rPr>
              <w:t>144.25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1D97897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Chemistry – Chemistry Education</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365AC45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11D98">
              <w:rPr>
                <w:rFonts w:asciiTheme="majorHAnsi" w:hAnsiTheme="majorHAnsi" w:cs="Arial"/>
                <w:b/>
                <w:sz w:val="18"/>
                <w:szCs w:val="18"/>
              </w:rPr>
              <w:t>Nadira Ibrisimović Mehmedinović</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56EC5AE" w14:textId="77777777" w:rsidR="00E11D98" w:rsidRP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11D98" w:rsidRPr="00E11D98">
              <w:rPr>
                <w:rFonts w:asciiTheme="majorHAnsi" w:hAnsiTheme="majorHAnsi" w:cs="Arial"/>
                <w:b/>
                <w:sz w:val="18"/>
                <w:szCs w:val="18"/>
              </w:rPr>
              <w:t>High-quality chemistry teaching is not possible without performing demonstration experiments and laboratory exercises. In the Experimental Chemistry course, students will:</w:t>
            </w:r>
          </w:p>
          <w:p w14:paraId="05A24E53" w14:textId="77777777" w:rsidR="00E11D98" w:rsidRPr="00E11D98" w:rsidRDefault="00E11D98" w:rsidP="00E11D98">
            <w:pPr>
              <w:pStyle w:val="NoSpacing"/>
              <w:rPr>
                <w:rFonts w:asciiTheme="majorHAnsi" w:hAnsiTheme="majorHAnsi" w:cs="Arial"/>
                <w:b/>
                <w:sz w:val="18"/>
                <w:szCs w:val="18"/>
              </w:rPr>
            </w:pPr>
          </w:p>
          <w:p w14:paraId="3EA37CC7" w14:textId="77777777"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lastRenderedPageBreak/>
              <w:t>Master the strategies, methods, and procedures for conducting experiments;</w:t>
            </w:r>
          </w:p>
          <w:p w14:paraId="20F6A1BB" w14:textId="77777777" w:rsidR="00E11D98" w:rsidRPr="00E11D98" w:rsidRDefault="00E11D98" w:rsidP="00E11D98">
            <w:pPr>
              <w:pStyle w:val="NoSpacing"/>
              <w:rPr>
                <w:rFonts w:asciiTheme="majorHAnsi" w:hAnsiTheme="majorHAnsi" w:cs="Arial"/>
                <w:b/>
                <w:sz w:val="18"/>
                <w:szCs w:val="18"/>
              </w:rPr>
            </w:pPr>
          </w:p>
          <w:p w14:paraId="30A748B1" w14:textId="77777777"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Learn the approaches and techniques for performing group, individual, and demonstration experiments;</w:t>
            </w:r>
          </w:p>
          <w:p w14:paraId="1C9C8C43" w14:textId="77777777" w:rsidR="00E11D98" w:rsidRPr="00E11D98" w:rsidRDefault="00E11D98" w:rsidP="00E11D98">
            <w:pPr>
              <w:pStyle w:val="NoSpacing"/>
              <w:rPr>
                <w:rFonts w:asciiTheme="majorHAnsi" w:hAnsiTheme="majorHAnsi" w:cs="Arial"/>
                <w:b/>
                <w:sz w:val="18"/>
                <w:szCs w:val="18"/>
              </w:rPr>
            </w:pPr>
          </w:p>
          <w:p w14:paraId="3BC44FA6" w14:textId="3CBDB7A3" w:rsidR="00CB72ED" w:rsidRPr="00B96B4F"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Develop an understanding of the importance of experiments in chemistry education at primary and secondary schools through examples of selected experiments.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13E3D1" w14:textId="77777777" w:rsidR="00E11D98" w:rsidRP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D98" w:rsidRPr="00E11D98">
              <w:rPr>
                <w:rFonts w:asciiTheme="majorHAnsi" w:hAnsiTheme="majorHAnsi" w:cs="Arial"/>
                <w:b/>
                <w:sz w:val="18"/>
                <w:szCs w:val="18"/>
              </w:rPr>
              <w:t>After successfully attending and completing the course, students will:</w:t>
            </w:r>
          </w:p>
          <w:p w14:paraId="76C92B00" w14:textId="77777777"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Master the strategies, methods, and procedures for conducting experiments;</w:t>
            </w:r>
          </w:p>
          <w:p w14:paraId="3B0C393A" w14:textId="77777777"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Learn the approaches and techniques for performing group, individual, and demonstration experiments;</w:t>
            </w:r>
          </w:p>
          <w:p w14:paraId="75EAA0F4" w14:textId="0C97518E" w:rsidR="00CB72ED" w:rsidRPr="00B96B4F"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Develop an understanding of the importance of experiments in chemistry teaching at primary and secondary schools through examples of selected experiments.</w:t>
            </w:r>
            <w:r w:rsidR="006D5B9B"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D3F6E1E" w14:textId="77777777" w:rsidR="00E11D98" w:rsidRP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D98" w:rsidRPr="00E11D98">
              <w:rPr>
                <w:rFonts w:asciiTheme="majorHAnsi" w:hAnsiTheme="majorHAnsi" w:cs="Arial"/>
                <w:b/>
                <w:sz w:val="18"/>
                <w:szCs w:val="18"/>
              </w:rPr>
              <w:t>The importance of experiments in chemistry teaching at primary and secondary schools.</w:t>
            </w:r>
          </w:p>
          <w:p w14:paraId="076EF1FA" w14:textId="0B2A49D6"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Principles of organizing a school laboratory.Working with chemicals.</w:t>
            </w:r>
            <w:r>
              <w:rPr>
                <w:rFonts w:asciiTheme="majorHAnsi" w:hAnsiTheme="majorHAnsi" w:cs="Arial"/>
                <w:b/>
                <w:sz w:val="18"/>
                <w:szCs w:val="18"/>
              </w:rPr>
              <w:t xml:space="preserve"> </w:t>
            </w:r>
            <w:r w:rsidRPr="00E11D98">
              <w:rPr>
                <w:rFonts w:asciiTheme="majorHAnsi" w:hAnsiTheme="majorHAnsi" w:cs="Arial"/>
                <w:b/>
                <w:sz w:val="18"/>
                <w:szCs w:val="18"/>
              </w:rPr>
              <w:t>Characteristics of certain hazardous chemicals and the risks associated with handling them.Demonstration experiments with selected examples.</w:t>
            </w:r>
            <w:r>
              <w:rPr>
                <w:rFonts w:asciiTheme="majorHAnsi" w:hAnsiTheme="majorHAnsi" w:cs="Arial"/>
                <w:b/>
                <w:sz w:val="18"/>
                <w:szCs w:val="18"/>
              </w:rPr>
              <w:t xml:space="preserve"> </w:t>
            </w:r>
            <w:r w:rsidRPr="00E11D98">
              <w:rPr>
                <w:rFonts w:asciiTheme="majorHAnsi" w:hAnsiTheme="majorHAnsi" w:cs="Arial"/>
                <w:b/>
                <w:sz w:val="18"/>
                <w:szCs w:val="18"/>
              </w:rPr>
              <w:t>Group experiments with selected examples.Individual experiments with selected examples.Demonstration of general chemistry experiments: Preparation, chemical composition, and characteristics of selected indicators.Demonstration of general chemistry experiments: Methods for separating homogeneous and heterogeneous mixtures.Demonstration of general chemistry experiments: Chemical laws – Law of Conservation of Mass; Law of Definite Proportions; Gay-Lussac’s Law of Combining Volumes; Boyle’s Law; Charles–Gay-Lussac Law.Demonstration of general chemistry experiments: Chemical kinetics – Dependence of reaction rate on reactant concentration, temperature, catalyst, and surface area of reactants.</w:t>
            </w:r>
          </w:p>
          <w:p w14:paraId="302B3256" w14:textId="3B82CD42"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Demonstration of inorganic chemistry experiments: Hydrogen; Oxygen; Water.Demonstration of inorganic chemistry experiments: Halogen elements.Demonstration of inorganic chemistry experiments: Sulfur and sulfur compounds.</w:t>
            </w:r>
          </w:p>
          <w:p w14:paraId="3BB9811F" w14:textId="2FC3BE20" w:rsidR="00CB72ED" w:rsidRPr="00B96B4F"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Demonstration of inorganic chemistry experiments: Nitrogen and nitrogen compounds.Demonstration of selected experiments in organic chemistry.Demonstration of selected experiments in physical chemistry.Demonstration of selected experiments in analytical chemistry.Demonstration of selected experiments in biochemistry.</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FCB325A" w14:textId="505DF400" w:rsidR="00E11D98" w:rsidRP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D98" w:rsidRPr="00E11D98">
              <w:rPr>
                <w:rFonts w:asciiTheme="majorHAnsi" w:hAnsiTheme="majorHAnsi" w:cs="Arial"/>
                <w:b/>
                <w:sz w:val="18"/>
                <w:szCs w:val="18"/>
              </w:rPr>
              <w:t>In order to conduct the course effectively and achieve the expected course objectives and student competencies by the end of the semester, various teaching methods are used:Lectures (L) using multimedia tools, active learning techniques, and involving students’ active participation and discussions;</w:t>
            </w:r>
          </w:p>
          <w:p w14:paraId="77B0D9A5" w14:textId="77777777"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Laboratory exercises (Lab);</w:t>
            </w:r>
          </w:p>
          <w:p w14:paraId="47D36B24" w14:textId="0166FC4B" w:rsidR="00CB72ED" w:rsidRPr="00B96B4F"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Consultations.</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77D3CE5" w14:textId="77777777" w:rsidR="00E11D98" w:rsidRP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1C54">
              <w:rPr>
                <w:rFonts w:asciiTheme="majorHAnsi" w:hAnsiTheme="majorHAnsi" w:cs="Arial"/>
                <w:b/>
                <w:sz w:val="18"/>
                <w:szCs w:val="18"/>
              </w:rPr>
              <w:t xml:space="preserve">  </w:t>
            </w:r>
            <w:r w:rsidR="00E11D98" w:rsidRPr="00E11D98">
              <w:rPr>
                <w:rFonts w:asciiTheme="majorHAnsi" w:hAnsiTheme="majorHAnsi" w:cs="Arial"/>
                <w:b/>
                <w:sz w:val="18"/>
                <w:szCs w:val="18"/>
              </w:rPr>
              <w:t>Student activity is determined by engagement in the teaching process, including attendance and active participation in lectures and exercises. For attending lectures and exercises during the semester, a student can earn between 0 and 5 points. Students who are absent more than three times are not entitled to have the course approved by the instructor.</w:t>
            </w:r>
          </w:p>
          <w:p w14:paraId="0CCC2127" w14:textId="3322CF28" w:rsidR="00E11D98" w:rsidRP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Laboratory exercises require mandatory assessments, where a student can earn a maximum of 10 points, with a minimum of 6 points needed to pass.After the middle of the semester, students take a written test (first partial exam) covering the topics taught in lectures and exercises up to that point. The test consists of calculation tasks, definition of terms, multiple-choice questions, fill-in-the-blank, matching, and graphical representation tasks. Each correct answer is awarded points according to the difficulty of the question. The total points earned on the test are then converted into the number of points defined in the syllabus; specifically, students can earn a maximum of 15 points on the first partial exam.</w:t>
            </w:r>
            <w:r>
              <w:rPr>
                <w:rFonts w:asciiTheme="majorHAnsi" w:hAnsiTheme="majorHAnsi" w:cs="Arial"/>
                <w:b/>
                <w:sz w:val="18"/>
                <w:szCs w:val="18"/>
              </w:rPr>
              <w:t xml:space="preserve"> </w:t>
            </w:r>
            <w:r w:rsidRPr="00E11D98">
              <w:rPr>
                <w:rFonts w:asciiTheme="majorHAnsi" w:hAnsiTheme="majorHAnsi" w:cs="Arial"/>
                <w:b/>
                <w:sz w:val="18"/>
                <w:szCs w:val="18"/>
              </w:rPr>
              <w:t>At the end of the semester, students take a second written test (second partial exam) covering the topics taught in the second part of the semester. The test format is the same as the first partial exam, including calculation tasks, definition of terms, multiple-choice questions, fill-in-the-blank, matching, and graphical representation. Each correct answer is awarded points according to the difficulty of the question. The total points earned are then converted into the number of points defined in the syllabus; specifically, students can earn a maximum of 15 points on the second partial exam. Both tests are taken simultaneously by all students in the course to ensure uniformity of the level of knowledge tested and equal testing conditions.The seminar paper covers topics within the course and should be prepared using available textbooks, online literature, and other relevant sources. Students are required to submit their seminar paper to the instructor for review within the specified time frame, no later than one month before the end of the semester, following the given instructions.</w:t>
            </w:r>
          </w:p>
          <w:p w14:paraId="05E07C0F" w14:textId="77777777" w:rsidR="00E11D98" w:rsidRDefault="00E11D98" w:rsidP="00E11D98">
            <w:pPr>
              <w:pStyle w:val="NoSpacing"/>
              <w:rPr>
                <w:rFonts w:asciiTheme="majorHAnsi" w:hAnsiTheme="majorHAnsi" w:cs="Arial"/>
                <w:b/>
                <w:sz w:val="18"/>
                <w:szCs w:val="18"/>
              </w:rPr>
            </w:pPr>
            <w:r w:rsidRPr="00E11D98">
              <w:rPr>
                <w:rFonts w:asciiTheme="majorHAnsi" w:hAnsiTheme="majorHAnsi" w:cs="Arial"/>
                <w:b/>
                <w:sz w:val="18"/>
                <w:szCs w:val="18"/>
              </w:rPr>
              <w:t>The final exam is both written and oral. On the written part of the exam, which covers the material taught in lectures and exercises, a student can earn a maximum of 50 points, with at least 27 points required to pass. The format of questions on the final exam is identical to those on the partial exams. To pass the course, a student must earn at least 55 cumulative points, including a minimum of 27 points on the final exam. The same procedure applies for make-up and additional make-up exams.</w:t>
            </w:r>
          </w:p>
          <w:p w14:paraId="064EA524" w14:textId="77777777" w:rsidR="00E11D98" w:rsidRDefault="00E11D98" w:rsidP="00E11D98">
            <w:pPr>
              <w:pStyle w:val="NoSpacing"/>
              <w:rPr>
                <w:rFonts w:asciiTheme="majorHAnsi" w:hAnsiTheme="majorHAnsi" w:cs="Arial"/>
                <w:b/>
                <w:sz w:val="18"/>
                <w:szCs w:val="18"/>
              </w:rPr>
            </w:pP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4379660" w14:textId="0A9E1B9D" w:rsidR="002376A6" w:rsidRPr="002376A6" w:rsidRDefault="006D5B9B" w:rsidP="002376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6A6" w:rsidRPr="002376A6">
              <w:rPr>
                <w:rFonts w:asciiTheme="majorHAnsi" w:hAnsiTheme="majorHAnsi" w:cs="Arial"/>
                <w:b/>
                <w:sz w:val="18"/>
                <w:szCs w:val="18"/>
              </w:rPr>
              <w:t>Criterion</w:t>
            </w:r>
            <w:r w:rsidR="002376A6" w:rsidRPr="002376A6">
              <w:rPr>
                <w:rFonts w:asciiTheme="majorHAnsi" w:hAnsiTheme="majorHAnsi" w:cs="Arial"/>
                <w:b/>
                <w:sz w:val="18"/>
                <w:szCs w:val="18"/>
              </w:rPr>
              <w:tab/>
              <w:t>Max Points</w:t>
            </w:r>
            <w:r w:rsidR="002376A6" w:rsidRPr="002376A6">
              <w:rPr>
                <w:rFonts w:asciiTheme="majorHAnsi" w:hAnsiTheme="majorHAnsi" w:cs="Arial"/>
                <w:b/>
                <w:sz w:val="18"/>
                <w:szCs w:val="18"/>
              </w:rPr>
              <w:tab/>
              <w:t>Points to Pass</w:t>
            </w:r>
            <w:r w:rsidR="002376A6" w:rsidRPr="002376A6">
              <w:rPr>
                <w:rFonts w:asciiTheme="majorHAnsi" w:hAnsiTheme="majorHAnsi" w:cs="Arial"/>
                <w:b/>
                <w:sz w:val="18"/>
                <w:szCs w:val="18"/>
              </w:rPr>
              <w:tab/>
              <w:t>Score Range (%)</w:t>
            </w:r>
            <w:r w:rsidR="002376A6" w:rsidRPr="002376A6">
              <w:rPr>
                <w:rFonts w:asciiTheme="majorHAnsi" w:hAnsiTheme="majorHAnsi" w:cs="Arial"/>
                <w:b/>
                <w:sz w:val="18"/>
                <w:szCs w:val="18"/>
              </w:rPr>
              <w:tab/>
              <w:t>Grade</w:t>
            </w:r>
            <w:r w:rsidR="002376A6" w:rsidRPr="002376A6">
              <w:rPr>
                <w:rFonts w:asciiTheme="majorHAnsi" w:hAnsiTheme="majorHAnsi" w:cs="Arial"/>
                <w:b/>
                <w:sz w:val="18"/>
                <w:szCs w:val="18"/>
              </w:rPr>
              <w:tab/>
              <w:t>ECTS Grade</w:t>
            </w:r>
          </w:p>
          <w:p w14:paraId="5390A582" w14:textId="548EDD52"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Attendance</w:t>
            </w:r>
            <w:r w:rsidRPr="002376A6">
              <w:rPr>
                <w:rFonts w:asciiTheme="majorHAnsi" w:hAnsiTheme="majorHAnsi" w:cs="Arial"/>
                <w:b/>
                <w:sz w:val="18"/>
                <w:szCs w:val="18"/>
              </w:rPr>
              <w:tab/>
              <w:t>5</w:t>
            </w:r>
            <w:r w:rsidRPr="002376A6">
              <w:rPr>
                <w:rFonts w:asciiTheme="majorHAnsi" w:hAnsiTheme="majorHAnsi" w:cs="Arial"/>
                <w:b/>
                <w:sz w:val="18"/>
                <w:szCs w:val="18"/>
              </w:rPr>
              <w:tab/>
              <w:t>3</w:t>
            </w:r>
            <w:r w:rsidRPr="002376A6">
              <w:rPr>
                <w:rFonts w:asciiTheme="majorHAnsi" w:hAnsiTheme="majorHAnsi" w:cs="Arial"/>
                <w:b/>
                <w:sz w:val="18"/>
                <w:szCs w:val="18"/>
              </w:rPr>
              <w:tab/>
              <w:t>&lt;55.00</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5</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F</w:t>
            </w:r>
          </w:p>
          <w:p w14:paraId="6F2A54C0" w14:textId="2BEE56D3"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Mandatory Lab Assessment (Lab)</w:t>
            </w:r>
            <w:r w:rsidRPr="002376A6">
              <w:rPr>
                <w:rFonts w:asciiTheme="majorHAnsi" w:hAnsiTheme="majorHAnsi" w:cs="Arial"/>
                <w:b/>
                <w:sz w:val="18"/>
                <w:szCs w:val="18"/>
              </w:rPr>
              <w:tab/>
              <w:t>5</w:t>
            </w:r>
            <w:r w:rsidRPr="002376A6">
              <w:rPr>
                <w:rFonts w:asciiTheme="majorHAnsi" w:hAnsiTheme="majorHAnsi" w:cs="Arial"/>
                <w:b/>
                <w:sz w:val="18"/>
                <w:szCs w:val="18"/>
              </w:rPr>
              <w:tab/>
              <w:t>3</w:t>
            </w:r>
            <w:r w:rsidRPr="002376A6">
              <w:rPr>
                <w:rFonts w:asciiTheme="majorHAnsi" w:hAnsiTheme="majorHAnsi" w:cs="Arial"/>
                <w:b/>
                <w:sz w:val="18"/>
                <w:szCs w:val="18"/>
              </w:rPr>
              <w:tab/>
              <w:t>55.00 – 64.00</w:t>
            </w:r>
            <w:r w:rsidRPr="002376A6">
              <w:rPr>
                <w:rFonts w:asciiTheme="majorHAnsi" w:hAnsiTheme="majorHAnsi" w:cs="Arial"/>
                <w:b/>
                <w:sz w:val="18"/>
                <w:szCs w:val="18"/>
              </w:rPr>
              <w:tab/>
              <w:t>6</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E</w:t>
            </w:r>
          </w:p>
          <w:p w14:paraId="46023280" w14:textId="66C109EE"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First Partial Exam</w:t>
            </w:r>
            <w:r w:rsidRPr="002376A6">
              <w:rPr>
                <w:rFonts w:asciiTheme="majorHAnsi" w:hAnsiTheme="majorHAnsi" w:cs="Arial"/>
                <w:b/>
                <w:sz w:val="18"/>
                <w:szCs w:val="18"/>
              </w:rPr>
              <w:tab/>
              <w:t>15</w:t>
            </w:r>
            <w:r w:rsidRPr="002376A6">
              <w:rPr>
                <w:rFonts w:asciiTheme="majorHAnsi" w:hAnsiTheme="majorHAnsi" w:cs="Arial"/>
                <w:b/>
                <w:sz w:val="18"/>
                <w:szCs w:val="18"/>
              </w:rPr>
              <w:tab/>
              <w:t>0</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65.00 – 74.00</w:t>
            </w:r>
            <w:r w:rsidRPr="002376A6">
              <w:rPr>
                <w:rFonts w:asciiTheme="majorHAnsi" w:hAnsiTheme="majorHAnsi" w:cs="Arial"/>
                <w:b/>
                <w:sz w:val="18"/>
                <w:szCs w:val="18"/>
              </w:rPr>
              <w:tab/>
            </w:r>
            <w:r>
              <w:rPr>
                <w:rFonts w:asciiTheme="majorHAnsi" w:hAnsiTheme="majorHAnsi" w:cs="Arial"/>
                <w:b/>
                <w:sz w:val="18"/>
                <w:szCs w:val="18"/>
              </w:rPr>
              <w:t xml:space="preserve">7                          </w:t>
            </w:r>
            <w:r w:rsidRPr="002376A6">
              <w:rPr>
                <w:rFonts w:asciiTheme="majorHAnsi" w:hAnsiTheme="majorHAnsi" w:cs="Arial"/>
                <w:b/>
                <w:sz w:val="18"/>
                <w:szCs w:val="18"/>
              </w:rPr>
              <w:t>D</w:t>
            </w:r>
          </w:p>
          <w:p w14:paraId="5D582FF1" w14:textId="01A4988E"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Second Partial Exam</w:t>
            </w:r>
            <w:r w:rsidRPr="002376A6">
              <w:rPr>
                <w:rFonts w:asciiTheme="majorHAnsi" w:hAnsiTheme="majorHAnsi" w:cs="Arial"/>
                <w:b/>
                <w:sz w:val="18"/>
                <w:szCs w:val="18"/>
              </w:rPr>
              <w:tab/>
              <w:t>15</w:t>
            </w:r>
            <w:r w:rsidRPr="002376A6">
              <w:rPr>
                <w:rFonts w:asciiTheme="majorHAnsi" w:hAnsiTheme="majorHAnsi" w:cs="Arial"/>
                <w:b/>
                <w:sz w:val="18"/>
                <w:szCs w:val="18"/>
              </w:rPr>
              <w:tab/>
              <w:t>0</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75.00 – 84.00</w:t>
            </w:r>
            <w:r w:rsidRPr="002376A6">
              <w:rPr>
                <w:rFonts w:asciiTheme="majorHAnsi" w:hAnsiTheme="majorHAnsi" w:cs="Arial"/>
                <w:b/>
                <w:sz w:val="18"/>
                <w:szCs w:val="18"/>
              </w:rPr>
              <w:tab/>
            </w:r>
            <w:r>
              <w:rPr>
                <w:rFonts w:asciiTheme="majorHAnsi" w:hAnsiTheme="majorHAnsi" w:cs="Arial"/>
                <w:b/>
                <w:sz w:val="18"/>
                <w:szCs w:val="18"/>
              </w:rPr>
              <w:t xml:space="preserve">8                          </w:t>
            </w:r>
            <w:r w:rsidRPr="002376A6">
              <w:rPr>
                <w:rFonts w:asciiTheme="majorHAnsi" w:hAnsiTheme="majorHAnsi" w:cs="Arial"/>
                <w:b/>
                <w:sz w:val="18"/>
                <w:szCs w:val="18"/>
              </w:rPr>
              <w:t>C</w:t>
            </w:r>
          </w:p>
          <w:p w14:paraId="1B34096B" w14:textId="2F61427D"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Seminar Paper</w:t>
            </w:r>
            <w:r w:rsidRPr="002376A6">
              <w:rPr>
                <w:rFonts w:asciiTheme="majorHAnsi" w:hAnsiTheme="majorHAnsi" w:cs="Arial"/>
                <w:b/>
                <w:sz w:val="18"/>
                <w:szCs w:val="18"/>
              </w:rPr>
              <w:tab/>
              <w:t>10</w:t>
            </w:r>
            <w:r w:rsidRPr="002376A6">
              <w:rPr>
                <w:rFonts w:asciiTheme="majorHAnsi" w:hAnsiTheme="majorHAnsi" w:cs="Arial"/>
                <w:b/>
                <w:sz w:val="18"/>
                <w:szCs w:val="18"/>
              </w:rPr>
              <w:tab/>
              <w:t>6</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85.00 – 94.00</w:t>
            </w:r>
            <w:r>
              <w:rPr>
                <w:rFonts w:asciiTheme="majorHAnsi" w:hAnsiTheme="majorHAnsi" w:cs="Arial"/>
                <w:b/>
                <w:sz w:val="18"/>
                <w:szCs w:val="18"/>
              </w:rPr>
              <w:t xml:space="preserve">     </w:t>
            </w:r>
            <w:r w:rsidRPr="002376A6">
              <w:rPr>
                <w:rFonts w:asciiTheme="majorHAnsi" w:hAnsiTheme="majorHAnsi" w:cs="Arial"/>
                <w:b/>
                <w:sz w:val="18"/>
                <w:szCs w:val="18"/>
              </w:rPr>
              <w:t>9</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B</w:t>
            </w:r>
          </w:p>
          <w:p w14:paraId="365A11AF" w14:textId="589F5E47"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Final Exam</w:t>
            </w:r>
            <w:r w:rsidRPr="002376A6">
              <w:rPr>
                <w:rFonts w:asciiTheme="majorHAnsi" w:hAnsiTheme="majorHAnsi" w:cs="Arial"/>
                <w:b/>
                <w:sz w:val="18"/>
                <w:szCs w:val="18"/>
              </w:rPr>
              <w:tab/>
              <w:t>50</w:t>
            </w:r>
            <w:r>
              <w:rPr>
                <w:rFonts w:asciiTheme="majorHAnsi" w:hAnsiTheme="majorHAnsi" w:cs="Arial"/>
                <w:b/>
                <w:sz w:val="18"/>
                <w:szCs w:val="18"/>
              </w:rPr>
              <w:t xml:space="preserve">            </w:t>
            </w:r>
            <w:r w:rsidRPr="002376A6">
              <w:rPr>
                <w:rFonts w:asciiTheme="majorHAnsi" w:hAnsiTheme="majorHAnsi" w:cs="Arial"/>
                <w:b/>
                <w:sz w:val="18"/>
                <w:szCs w:val="18"/>
              </w:rPr>
              <w:t>26</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95.00 – 100</w:t>
            </w:r>
            <w:r w:rsidRPr="002376A6">
              <w:rPr>
                <w:rFonts w:asciiTheme="majorHAnsi" w:hAnsiTheme="majorHAnsi" w:cs="Arial"/>
                <w:b/>
                <w:sz w:val="18"/>
                <w:szCs w:val="18"/>
              </w:rPr>
              <w:tab/>
              <w:t>10</w:t>
            </w:r>
            <w:r w:rsidRPr="002376A6">
              <w:rPr>
                <w:rFonts w:asciiTheme="majorHAnsi" w:hAnsiTheme="majorHAnsi" w:cs="Arial"/>
                <w:b/>
                <w:sz w:val="18"/>
                <w:szCs w:val="18"/>
              </w:rPr>
              <w:tab/>
            </w:r>
            <w:r>
              <w:rPr>
                <w:rFonts w:asciiTheme="majorHAnsi" w:hAnsiTheme="majorHAnsi" w:cs="Arial"/>
                <w:b/>
                <w:sz w:val="18"/>
                <w:szCs w:val="18"/>
              </w:rPr>
              <w:t xml:space="preserve">           </w:t>
            </w:r>
            <w:r w:rsidRPr="002376A6">
              <w:rPr>
                <w:rFonts w:asciiTheme="majorHAnsi" w:hAnsiTheme="majorHAnsi" w:cs="Arial"/>
                <w:b/>
                <w:sz w:val="18"/>
                <w:szCs w:val="18"/>
              </w:rPr>
              <w:t>A</w:t>
            </w:r>
          </w:p>
          <w:p w14:paraId="603783D8" w14:textId="386528D0" w:rsidR="00CB72ED" w:rsidRPr="00B96B4F"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Total</w:t>
            </w:r>
            <w:r w:rsidRPr="002376A6">
              <w:rPr>
                <w:rFonts w:asciiTheme="majorHAnsi" w:hAnsiTheme="majorHAnsi" w:cs="Arial"/>
                <w:b/>
                <w:sz w:val="18"/>
                <w:szCs w:val="18"/>
              </w:rPr>
              <w:tab/>
              <w:t>100</w:t>
            </w:r>
            <w:r w:rsidRPr="002376A6">
              <w:rPr>
                <w:rFonts w:asciiTheme="majorHAnsi" w:hAnsiTheme="majorHAnsi" w:cs="Arial"/>
                <w:b/>
                <w:sz w:val="18"/>
                <w:szCs w:val="18"/>
              </w:rPr>
              <w:tab/>
              <w:t>54</w:t>
            </w:r>
            <w:r w:rsidRPr="002376A6">
              <w:rPr>
                <w:rFonts w:asciiTheme="majorHAnsi" w:hAnsiTheme="majorHAnsi" w:cs="Arial"/>
                <w:b/>
                <w:sz w:val="18"/>
                <w:szCs w:val="18"/>
              </w:rPr>
              <w:tab/>
            </w:r>
            <w:r w:rsidRPr="002376A6">
              <w:rPr>
                <w:rFonts w:asciiTheme="majorHAnsi" w:hAnsiTheme="majorHAnsi" w:cs="Arial"/>
                <w:b/>
                <w:sz w:val="18"/>
                <w:szCs w:val="18"/>
              </w:rPr>
              <w:tab/>
            </w:r>
            <w:r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113CA6" w14:textId="77777777" w:rsidR="002376A6" w:rsidRPr="002376A6" w:rsidRDefault="006D5B9B" w:rsidP="002376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6A6" w:rsidRPr="002376A6">
              <w:rPr>
                <w:rFonts w:asciiTheme="majorHAnsi" w:hAnsiTheme="majorHAnsi" w:cs="Arial"/>
                <w:b/>
                <w:sz w:val="18"/>
                <w:szCs w:val="18"/>
              </w:rPr>
              <w:t>N. Ibrišimović Mehmedinović, J. Dedić, A. Kesić, M. Ibrišimović, Introduction to Laboratory Work, University of Tuzla, Tuzla, 2015.</w:t>
            </w:r>
          </w:p>
          <w:p w14:paraId="24958FD4" w14:textId="77777777"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O. Stojanović, N. Stojanović, Đ. Kosanović, Harmful and Hazardous Substances, Rad, Belgrade, 1984.</w:t>
            </w:r>
          </w:p>
          <w:p w14:paraId="6AF4BCFA" w14:textId="77777777" w:rsidR="002376A6" w:rsidRPr="002376A6"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D. G. Minić, D. Stanisavljev, N. Cvjetičanin, M. Kuzmanović, Lj. Ignjatović, G. Ćirić-Marjanović, Introduction to Laboratory Work, University of Belgrade, Belgrade, 2005.</w:t>
            </w:r>
          </w:p>
          <w:p w14:paraId="28F7BF18" w14:textId="6226C6CB" w:rsidR="00CB72ED" w:rsidRPr="00B96B4F" w:rsidRDefault="002376A6" w:rsidP="002376A6">
            <w:pPr>
              <w:pStyle w:val="NoSpacing"/>
              <w:rPr>
                <w:rFonts w:asciiTheme="majorHAnsi" w:hAnsiTheme="majorHAnsi" w:cs="Arial"/>
                <w:b/>
                <w:sz w:val="18"/>
                <w:szCs w:val="18"/>
              </w:rPr>
            </w:pPr>
            <w:r w:rsidRPr="002376A6">
              <w:rPr>
                <w:rFonts w:asciiTheme="majorHAnsi" w:hAnsiTheme="majorHAnsi" w:cs="Arial"/>
                <w:b/>
                <w:sz w:val="18"/>
                <w:szCs w:val="18"/>
              </w:rPr>
              <w:t>Safe Work in Chemical Laboratories, Bundesverband der Unfallkassen, Munich, 2000.</w:t>
            </w:r>
            <w:r w:rsidR="0049136F" w:rsidRPr="0049136F">
              <w:rPr>
                <w:rFonts w:asciiTheme="majorHAnsi" w:hAnsiTheme="majorHAnsi" w:cs="Arial"/>
                <w:b/>
                <w:sz w:val="18"/>
                <w:szCs w:val="18"/>
              </w:rPr>
              <w:t xml:space="preserve">  </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E2D90" w14:textId="77777777" w:rsidR="000442D6" w:rsidRDefault="000442D6">
      <w:pPr>
        <w:spacing w:line="240" w:lineRule="auto"/>
      </w:pPr>
      <w:r>
        <w:separator/>
      </w:r>
    </w:p>
  </w:endnote>
  <w:endnote w:type="continuationSeparator" w:id="0">
    <w:p w14:paraId="07283E5B" w14:textId="77777777" w:rsidR="000442D6" w:rsidRDefault="00044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452B2C96"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07915">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C07915">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C07915">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D71F7" w14:textId="77777777" w:rsidR="000442D6" w:rsidRDefault="000442D6">
      <w:pPr>
        <w:spacing w:after="0"/>
      </w:pPr>
      <w:r>
        <w:separator/>
      </w:r>
    </w:p>
  </w:footnote>
  <w:footnote w:type="continuationSeparator" w:id="0">
    <w:p w14:paraId="7ADD96A6" w14:textId="77777777" w:rsidR="000442D6" w:rsidRDefault="000442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2D6"/>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07915"/>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E6FD1-3FA3-44AB-99D0-722ECB17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2026-03-13T09:32:00Z</dcterms:created>
  <dcterms:modified xsi:type="dcterms:W3CDTF">2026-03-13T09:32:00Z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